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61B82" w:rsidRDefault="000004CB">
      <w:pPr>
        <w:spacing w:line="27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pt;margin-top:1in;width:455.05pt;height:140.85pt;z-index:-6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661B82" w:rsidRDefault="000004CB">
      <w:pPr>
        <w:spacing w:line="0" w:lineRule="atLeast"/>
        <w:ind w:left="30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Deklaracija iz Bruxellesa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661B82" w:rsidRDefault="000004CB">
      <w:pPr>
        <w:spacing w:line="0" w:lineRule="atLeast"/>
        <w:ind w:left="186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gradonačelnika glavnih gradova država EU</w:t>
      </w:r>
      <w:r w:rsidR="00D424F8">
        <w:rPr>
          <w:rFonts w:ascii="Arial" w:eastAsia="Arial" w:hAnsi="Arial"/>
          <w:b/>
          <w:sz w:val="28"/>
        </w:rPr>
        <w:t>-a</w:t>
      </w:r>
      <w:r>
        <w:rPr>
          <w:rFonts w:ascii="Arial" w:eastAsia="Arial" w:hAnsi="Arial"/>
          <w:b/>
          <w:sz w:val="28"/>
        </w:rPr>
        <w:t xml:space="preserve"> o</w:t>
      </w:r>
    </w:p>
    <w:p w:rsidR="00661B82" w:rsidRDefault="00661B82">
      <w:pPr>
        <w:spacing w:line="399" w:lineRule="exact"/>
        <w:rPr>
          <w:rFonts w:ascii="Times New Roman" w:eastAsia="Times New Roman" w:hAnsi="Times New Roman"/>
          <w:sz w:val="24"/>
        </w:rPr>
      </w:pPr>
    </w:p>
    <w:p w:rsidR="00661B82" w:rsidRDefault="000004CB">
      <w:pPr>
        <w:spacing w:line="450" w:lineRule="auto"/>
        <w:ind w:left="2460" w:right="60" w:hanging="2402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         </w:t>
      </w:r>
      <w:r>
        <w:rPr>
          <w:rFonts w:ascii="Arial" w:eastAsia="Arial" w:hAnsi="Arial"/>
          <w:b/>
          <w:sz w:val="28"/>
        </w:rPr>
        <w:t xml:space="preserve">Javnim ulaganjima, kohezijskoj politici i </w:t>
      </w:r>
      <w:r w:rsidR="00264629">
        <w:rPr>
          <w:rFonts w:ascii="Arial" w:eastAsia="Arial" w:hAnsi="Arial"/>
          <w:b/>
          <w:sz w:val="28"/>
        </w:rPr>
        <w:t>P</w:t>
      </w:r>
      <w:r>
        <w:rPr>
          <w:rFonts w:ascii="Arial" w:eastAsia="Arial" w:hAnsi="Arial"/>
          <w:b/>
          <w:sz w:val="28"/>
        </w:rPr>
        <w:t xml:space="preserve">rogramu </w:t>
      </w:r>
      <w:r>
        <w:rPr>
          <w:rFonts w:ascii="Arial" w:eastAsia="Arial" w:hAnsi="Arial"/>
          <w:b/>
          <w:sz w:val="28"/>
        </w:rPr>
        <w:t>EU</w:t>
      </w:r>
      <w:r w:rsidR="00264629">
        <w:rPr>
          <w:rFonts w:ascii="Arial" w:eastAsia="Arial" w:hAnsi="Arial"/>
          <w:b/>
          <w:sz w:val="28"/>
        </w:rPr>
        <w:t>-a za gradove</w:t>
      </w:r>
      <w:r>
        <w:rPr>
          <w:rFonts w:ascii="Arial" w:eastAsia="Arial" w:hAnsi="Arial"/>
          <w:b/>
          <w:sz w:val="28"/>
        </w:rPr>
        <w:t>, Bruxelles, 25. rujna 2018.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661B82" w:rsidRDefault="000004CB">
      <w:pPr>
        <w:spacing w:line="0" w:lineRule="atLeast"/>
        <w:ind w:left="39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Preambula</w:t>
      </w:r>
    </w:p>
    <w:p w:rsidR="00661B82" w:rsidRDefault="00661B82">
      <w:pPr>
        <w:spacing w:line="394" w:lineRule="exact"/>
        <w:rPr>
          <w:rFonts w:ascii="Times New Roman" w:eastAsia="Times New Roman" w:hAnsi="Times New Roman"/>
          <w:sz w:val="24"/>
        </w:rPr>
      </w:pPr>
    </w:p>
    <w:p w:rsidR="00661B82" w:rsidRDefault="000004CB">
      <w:pPr>
        <w:spacing w:line="387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Europsku uniju ne čine samo brojke i proračuni, pravila i norme. Prije svega, na njezinom teritoriju živi više od 500 milijuna građana koji imaju pravo na visoku kvalitetu života u društveno, ekološki i ekonomski održivom okruženju. Vlast tim građanima mor</w:t>
      </w:r>
      <w:r>
        <w:rPr>
          <w:rFonts w:ascii="Arial" w:eastAsia="Arial" w:hAnsi="Arial"/>
          <w:sz w:val="24"/>
        </w:rPr>
        <w:t>a jamčiti kvalitetne usluge u kombinaciji sa zdravim i održivim upravljanjem javnim sredstvima. Ulaganje u kvalitetu života odvija se na terenu, u našim gradovima i regijama, te u uspostavljenim partnerstvima javnog i privatnog sektora. Kohezijska politika</w:t>
      </w:r>
      <w:r>
        <w:rPr>
          <w:rFonts w:ascii="Arial" w:eastAsia="Arial" w:hAnsi="Arial"/>
          <w:sz w:val="24"/>
        </w:rPr>
        <w:t xml:space="preserve"> EU znatno je doprinijela razvoju naše društvene, gospodarske i teritorijalne kohezije i prevladavanju regionalnih nejednakosti. Financijski instrumenti EIB-a također su od velike pomoći, a </w:t>
      </w:r>
      <w:r w:rsidR="00264629">
        <w:rPr>
          <w:rFonts w:ascii="Arial" w:eastAsia="Arial" w:hAnsi="Arial"/>
          <w:sz w:val="24"/>
        </w:rPr>
        <w:t>Program EU-a za gradove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omogućuje procjenu učinka kako politika EU mo</w:t>
      </w:r>
      <w:r>
        <w:rPr>
          <w:rFonts w:ascii="Arial" w:eastAsia="Arial" w:hAnsi="Arial"/>
          <w:sz w:val="24"/>
        </w:rPr>
        <w:t>že stvoriti bolja životna okruženja u gradovima i urbanim područjima Europske unije. Međutim, javna ulaganja znatno su se smanjila od početka globalne financijske krize koja uzrokuje poremećaje i nejednakosti u našim društvima i gospodarstvima, koji se čes</w:t>
      </w:r>
      <w:r>
        <w:rPr>
          <w:rFonts w:ascii="Arial" w:eastAsia="Arial" w:hAnsi="Arial"/>
          <w:sz w:val="24"/>
        </w:rPr>
        <w:t>to najprije primjećuju u gradovima. Stoga mi, gradonačelnici glavnih gradova država EU, naglašavamo potrebu za boljim uvjetima kako bi gradovi mogli ulagati u sadašnju i buduću kvalitetu života naših građana.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61B82" w:rsidRDefault="00661B82">
      <w:pPr>
        <w:spacing w:line="303" w:lineRule="exact"/>
        <w:rPr>
          <w:rFonts w:ascii="Times New Roman" w:eastAsia="Times New Roman" w:hAnsi="Times New Roman"/>
          <w:sz w:val="24"/>
        </w:rPr>
      </w:pPr>
    </w:p>
    <w:p w:rsidR="00661B82" w:rsidRDefault="000004CB">
      <w:pPr>
        <w:spacing w:line="0" w:lineRule="atLeast"/>
        <w:ind w:left="8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661B82" w:rsidRDefault="00661B82">
      <w:pPr>
        <w:spacing w:line="0" w:lineRule="atLeast"/>
        <w:ind w:left="8900"/>
        <w:rPr>
          <w:rFonts w:ascii="Times New Roman" w:eastAsia="Times New Roman" w:hAnsi="Times New Roman"/>
          <w:sz w:val="24"/>
        </w:rPr>
        <w:sectPr w:rsidR="00661B82">
          <w:pgSz w:w="11900" w:h="16840"/>
          <w:pgMar w:top="1440" w:right="1440" w:bottom="435" w:left="1440" w:header="0" w:footer="0" w:gutter="0"/>
          <w:cols w:space="0" w:equalWidth="0">
            <w:col w:w="9020"/>
          </w:cols>
          <w:docGrid w:linePitch="360"/>
        </w:sectPr>
      </w:pPr>
    </w:p>
    <w:p w:rsidR="00661B82" w:rsidRDefault="00661B82">
      <w:pPr>
        <w:spacing w:line="14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661B82" w:rsidRDefault="000004CB">
      <w:pPr>
        <w:spacing w:line="0" w:lineRule="atLeast"/>
        <w:ind w:left="31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O javnim ulaganjima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64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56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Radna skupina na visokoj razini za ulaganje u društvenu infrastrukturu u Europi</w:t>
      </w:r>
      <w:r>
        <w:rPr>
          <w:rFonts w:ascii="Arial" w:eastAsia="Arial" w:hAnsi="Arial"/>
          <w:sz w:val="31"/>
          <w:vertAlign w:val="superscript"/>
        </w:rPr>
        <w:t>1</w:t>
      </w:r>
      <w:r>
        <w:rPr>
          <w:rFonts w:ascii="Arial" w:eastAsia="Arial" w:hAnsi="Arial"/>
          <w:sz w:val="24"/>
        </w:rPr>
        <w:t xml:space="preserve"> navodi u svojem izvještaju iz 2018. godine da su se ulaganja u društvenu infrastrukturu smanjila za 20 posto od 2009. godine u EU-u i procjenjuje ukupni </w:t>
      </w:r>
      <w:r>
        <w:rPr>
          <w:rFonts w:ascii="Arial" w:eastAsia="Arial" w:hAnsi="Arial"/>
          <w:sz w:val="24"/>
        </w:rPr>
        <w:t>investicijski jaz na 150 milijardi eura godišnje za sljedećih deset godina</w:t>
      </w:r>
      <w:r>
        <w:rPr>
          <w:rFonts w:ascii="Arial" w:eastAsia="Arial" w:hAnsi="Arial"/>
          <w:b/>
          <w:sz w:val="24"/>
        </w:rPr>
        <w:t>.</w:t>
      </w:r>
      <w:r>
        <w:rPr>
          <w:rFonts w:ascii="Arial" w:eastAsia="Arial" w:hAnsi="Arial"/>
          <w:sz w:val="24"/>
        </w:rPr>
        <w:t xml:space="preserve"> Trenutno postoji široki konsenzus oko hitnosti ponovnog pokretanja javnih investicija u Europi.</w:t>
      </w:r>
    </w:p>
    <w:p w:rsidR="00661B82" w:rsidRDefault="00661B82">
      <w:pPr>
        <w:spacing w:line="313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64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Glavne međunarodne organizacije poput ECB-a i OECD-a bezuvjetno podržavaju tu inici</w:t>
      </w:r>
      <w:r>
        <w:rPr>
          <w:rFonts w:ascii="Arial" w:eastAsia="Arial" w:hAnsi="Arial"/>
          <w:sz w:val="24"/>
        </w:rPr>
        <w:t>jativu. Studija MMF-a objavljena 2014. godine</w:t>
      </w:r>
      <w:r>
        <w:rPr>
          <w:rFonts w:ascii="Arial" w:eastAsia="Arial" w:hAnsi="Arial"/>
          <w:sz w:val="31"/>
          <w:vertAlign w:val="superscript"/>
        </w:rPr>
        <w:t>2</w:t>
      </w:r>
      <w:r>
        <w:rPr>
          <w:rFonts w:ascii="Arial" w:eastAsia="Arial" w:hAnsi="Arial"/>
          <w:sz w:val="24"/>
        </w:rPr>
        <w:t xml:space="preserve"> pokazuje da povećanje javnih investicija u vrijednosti 1% BDP-a ima utjecaj od 1,5% na BDP u srednjoročnom razdoblju (4 godine), tj. ako se ulaganje financira putem duga, a ne mjerama uštede s ciljem postizanj</w:t>
      </w:r>
      <w:r>
        <w:rPr>
          <w:rFonts w:ascii="Arial" w:eastAsia="Arial" w:hAnsi="Arial"/>
          <w:sz w:val="24"/>
        </w:rPr>
        <w:t>a proračunske neutralnosti. Lokalna javna ulaganja predstavljaju polovicu ukupnih javnih investicija unutar Europske unije</w:t>
      </w:r>
      <w:r>
        <w:rPr>
          <w:rFonts w:ascii="Arial" w:eastAsia="Arial" w:hAnsi="Arial"/>
          <w:sz w:val="31"/>
          <w:vertAlign w:val="superscript"/>
        </w:rPr>
        <w:t>3</w:t>
      </w:r>
      <w:r>
        <w:rPr>
          <w:rFonts w:ascii="Arial" w:eastAsia="Arial" w:hAnsi="Arial"/>
          <w:sz w:val="24"/>
        </w:rPr>
        <w:t>.</w:t>
      </w:r>
    </w:p>
    <w:p w:rsidR="00661B82" w:rsidRDefault="00661B82">
      <w:pPr>
        <w:spacing w:line="376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 posljednje tri godine potpora javnim investicijama se povećala, ali je i dalje nedostatna.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18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3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Pozdravljamo Investicijski plan za </w:t>
      </w:r>
      <w:r>
        <w:rPr>
          <w:rFonts w:ascii="Arial" w:eastAsia="Arial" w:hAnsi="Arial"/>
          <w:sz w:val="24"/>
        </w:rPr>
        <w:t xml:space="preserve">Europu, poznat i kao </w:t>
      </w:r>
      <w:proofErr w:type="spellStart"/>
      <w:r>
        <w:rPr>
          <w:rFonts w:ascii="Arial" w:eastAsia="Arial" w:hAnsi="Arial"/>
          <w:sz w:val="24"/>
        </w:rPr>
        <w:t>Junckerov</w:t>
      </w:r>
      <w:proofErr w:type="spellEnd"/>
      <w:r>
        <w:rPr>
          <w:rFonts w:ascii="Arial" w:eastAsia="Arial" w:hAnsi="Arial"/>
          <w:sz w:val="24"/>
        </w:rPr>
        <w:t xml:space="preserve"> plan, proveden 2015. godine kao prvi pokušaj Europe da riješi investicijske manjkove u Uniji. Međutim, sam </w:t>
      </w:r>
      <w:proofErr w:type="spellStart"/>
      <w:r>
        <w:rPr>
          <w:rFonts w:ascii="Arial" w:eastAsia="Arial" w:hAnsi="Arial"/>
          <w:sz w:val="24"/>
        </w:rPr>
        <w:t>Junckerov</w:t>
      </w:r>
      <w:proofErr w:type="spellEnd"/>
      <w:r>
        <w:rPr>
          <w:rFonts w:ascii="Arial" w:eastAsia="Arial" w:hAnsi="Arial"/>
          <w:sz w:val="24"/>
        </w:rPr>
        <w:t xml:space="preserve"> plan ne rješava problem javnih ulaganja jer se uglavnom odnosi na nedostatak privatnih ulaganja. Privatni se</w:t>
      </w:r>
      <w:r>
        <w:rPr>
          <w:rFonts w:ascii="Arial" w:eastAsia="Arial" w:hAnsi="Arial"/>
          <w:sz w:val="24"/>
        </w:rPr>
        <w:t>ktor radije ulaže u financijski atraktivne projekte bez obzira na njihovu javnu svrhu.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55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Druga inicijativa koju je Komisija usvojila 2015. godine radi ponovnog pokretanja javnih</w:t>
      </w:r>
    </w:p>
    <w:p w:rsidR="00661B82" w:rsidRDefault="000004CB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4"/>
        </w:rPr>
        <w:pict>
          <v:line id="_x0000_s1027" style="position:absolute;z-index:-5" from="0,28.7pt" to="2in,28.7pt" o:allowincell="f" o:userdrawn="t" strokeweight=".21164mm"/>
        </w:pic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37" w:lineRule="exact"/>
        <w:rPr>
          <w:rFonts w:ascii="Times New Roman" w:eastAsia="Times New Roman" w:hAnsi="Times New Roman"/>
        </w:rPr>
      </w:pPr>
    </w:p>
    <w:p w:rsidR="00661B82" w:rsidRPr="00264629" w:rsidRDefault="000004CB">
      <w:pPr>
        <w:spacing w:line="222" w:lineRule="auto"/>
        <w:ind w:right="100"/>
        <w:rPr>
          <w:rFonts w:ascii="Times New Roman" w:eastAsia="Arial" w:hAnsi="Times New Roman" w:cs="Times New Roman"/>
          <w:sz w:val="22"/>
          <w:szCs w:val="22"/>
        </w:rPr>
      </w:pPr>
      <w:r w:rsidRPr="00264629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264629">
        <w:rPr>
          <w:rFonts w:ascii="Times New Roman" w:eastAsia="Arial" w:hAnsi="Times New Roman" w:cs="Times New Roman"/>
          <w:sz w:val="22"/>
          <w:szCs w:val="22"/>
        </w:rPr>
        <w:t xml:space="preserve"> Izvješće Radne skupine na visokoj razini o ulaganju u društvenu infrastrukturu u Europi: "</w:t>
      </w:r>
      <w:hyperlink r:id="rId6" w:history="1">
        <w:r w:rsidRPr="00264629">
          <w:rPr>
            <w:rFonts w:ascii="Times New Roman" w:eastAsia="Arial" w:hAnsi="Times New Roman" w:cs="Times New Roman"/>
            <w:sz w:val="22"/>
            <w:szCs w:val="22"/>
            <w:u w:val="single"/>
          </w:rPr>
          <w:t>Poticanje ulaganja u društvenu infrastrukt</w:t>
        </w:r>
        <w:r w:rsidRPr="00264629">
          <w:rPr>
            <w:rFonts w:ascii="Times New Roman" w:eastAsia="Arial" w:hAnsi="Times New Roman" w:cs="Times New Roman"/>
            <w:sz w:val="22"/>
            <w:szCs w:val="22"/>
            <w:u w:val="single"/>
          </w:rPr>
          <w:t>uru u Europi</w:t>
        </w:r>
      </w:hyperlink>
      <w:r w:rsidRPr="00264629">
        <w:rPr>
          <w:rFonts w:ascii="Times New Roman" w:eastAsia="Arial" w:hAnsi="Times New Roman" w:cs="Times New Roman"/>
          <w:sz w:val="22"/>
          <w:szCs w:val="22"/>
        </w:rPr>
        <w:t xml:space="preserve">", </w:t>
      </w:r>
      <w:proofErr w:type="spellStart"/>
      <w:r w:rsidRPr="00264629">
        <w:rPr>
          <w:rFonts w:ascii="Times New Roman" w:eastAsia="Arial" w:hAnsi="Times New Roman" w:cs="Times New Roman"/>
          <w:sz w:val="22"/>
          <w:szCs w:val="22"/>
        </w:rPr>
        <w:t>Lieve</w:t>
      </w:r>
      <w:proofErr w:type="spellEnd"/>
      <w:r w:rsidRPr="00264629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264629">
        <w:rPr>
          <w:rFonts w:ascii="Times New Roman" w:eastAsia="Arial" w:hAnsi="Times New Roman" w:cs="Times New Roman"/>
          <w:sz w:val="22"/>
          <w:szCs w:val="22"/>
        </w:rPr>
        <w:t>Fransen</w:t>
      </w:r>
      <w:proofErr w:type="spellEnd"/>
      <w:r w:rsidRPr="00264629">
        <w:rPr>
          <w:rFonts w:ascii="Times New Roman" w:eastAsia="Arial" w:hAnsi="Times New Roman" w:cs="Times New Roman"/>
          <w:sz w:val="22"/>
          <w:szCs w:val="22"/>
        </w:rPr>
        <w:t xml:space="preserve">, Gino del </w:t>
      </w:r>
      <w:proofErr w:type="spellStart"/>
      <w:r w:rsidRPr="00264629">
        <w:rPr>
          <w:rFonts w:ascii="Times New Roman" w:eastAsia="Arial" w:hAnsi="Times New Roman" w:cs="Times New Roman"/>
          <w:sz w:val="22"/>
          <w:szCs w:val="22"/>
        </w:rPr>
        <w:t>Bufalo</w:t>
      </w:r>
      <w:proofErr w:type="spellEnd"/>
      <w:r w:rsidRPr="00264629">
        <w:rPr>
          <w:rFonts w:ascii="Times New Roman" w:eastAsia="Arial" w:hAnsi="Times New Roman" w:cs="Times New Roman"/>
          <w:sz w:val="22"/>
          <w:szCs w:val="22"/>
        </w:rPr>
        <w:t xml:space="preserve"> i </w:t>
      </w:r>
      <w:proofErr w:type="spellStart"/>
      <w:r w:rsidRPr="00264629">
        <w:rPr>
          <w:rFonts w:ascii="Times New Roman" w:eastAsia="Arial" w:hAnsi="Times New Roman" w:cs="Times New Roman"/>
          <w:sz w:val="22"/>
          <w:szCs w:val="22"/>
        </w:rPr>
        <w:t>Edoardo</w:t>
      </w:r>
      <w:proofErr w:type="spellEnd"/>
      <w:r w:rsidRPr="00264629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264629">
        <w:rPr>
          <w:rFonts w:ascii="Times New Roman" w:eastAsia="Arial" w:hAnsi="Times New Roman" w:cs="Times New Roman"/>
          <w:sz w:val="22"/>
          <w:szCs w:val="22"/>
        </w:rPr>
        <w:t>Reviglio</w:t>
      </w:r>
      <w:proofErr w:type="spellEnd"/>
      <w:r w:rsidRPr="00264629">
        <w:rPr>
          <w:rFonts w:ascii="Times New Roman" w:eastAsia="Arial" w:hAnsi="Times New Roman" w:cs="Times New Roman"/>
          <w:sz w:val="22"/>
          <w:szCs w:val="22"/>
        </w:rPr>
        <w:t xml:space="preserve"> (siječanj 2018.)</w:t>
      </w:r>
    </w:p>
    <w:p w:rsidR="00661B82" w:rsidRPr="00264629" w:rsidRDefault="00661B82">
      <w:p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661B82" w:rsidRPr="00264629" w:rsidRDefault="000004CB">
      <w:pPr>
        <w:numPr>
          <w:ilvl w:val="0"/>
          <w:numId w:val="1"/>
        </w:numPr>
        <w:tabs>
          <w:tab w:val="left" w:pos="124"/>
        </w:tabs>
        <w:spacing w:line="206" w:lineRule="auto"/>
        <w:ind w:left="140" w:hanging="140"/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264629">
        <w:rPr>
          <w:rFonts w:ascii="Times New Roman" w:eastAsia="Arial" w:hAnsi="Times New Roman" w:cs="Times New Roman"/>
          <w:sz w:val="22"/>
          <w:szCs w:val="22"/>
        </w:rPr>
        <w:t>"Je li pravi trenutak za ponovno pokretanje ulaganja u infrastrukturu? Makroekonomski učinci javnih ulaganja." MMF, 2014.</w:t>
      </w:r>
    </w:p>
    <w:p w:rsidR="00661B82" w:rsidRPr="00264629" w:rsidRDefault="000004CB">
      <w:pPr>
        <w:numPr>
          <w:ilvl w:val="0"/>
          <w:numId w:val="1"/>
        </w:numPr>
        <w:tabs>
          <w:tab w:val="left" w:pos="120"/>
        </w:tabs>
        <w:spacing w:line="187" w:lineRule="auto"/>
        <w:ind w:left="120" w:hanging="120"/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264629">
        <w:rPr>
          <w:rFonts w:ascii="Times New Roman" w:eastAsia="Times New Roman" w:hAnsi="Times New Roman" w:cs="Times New Roman"/>
          <w:sz w:val="22"/>
          <w:szCs w:val="22"/>
        </w:rPr>
        <w:t>50,09% prema "OECD: Ključni podaci za jedinice loka</w:t>
      </w:r>
      <w:r w:rsidRPr="00264629">
        <w:rPr>
          <w:rFonts w:ascii="Times New Roman" w:eastAsia="Times New Roman" w:hAnsi="Times New Roman" w:cs="Times New Roman"/>
          <w:sz w:val="22"/>
          <w:szCs w:val="22"/>
        </w:rPr>
        <w:t>lne uprave 2018."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31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8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661B82" w:rsidRDefault="00661B82">
      <w:pPr>
        <w:spacing w:line="0" w:lineRule="atLeast"/>
        <w:ind w:left="8900"/>
        <w:rPr>
          <w:rFonts w:ascii="Times New Roman" w:eastAsia="Times New Roman" w:hAnsi="Times New Roman"/>
          <w:sz w:val="24"/>
        </w:rPr>
        <w:sectPr w:rsidR="00661B82">
          <w:pgSz w:w="11900" w:h="16840"/>
          <w:pgMar w:top="1440" w:right="1440" w:bottom="435" w:left="1440" w:header="0" w:footer="0" w:gutter="0"/>
          <w:cols w:space="0" w:equalWidth="0">
            <w:col w:w="9020"/>
          </w:cols>
          <w:docGrid w:linePitch="360"/>
        </w:sectPr>
      </w:pPr>
    </w:p>
    <w:p w:rsidR="00661B82" w:rsidRDefault="00661B82">
      <w:pPr>
        <w:spacing w:line="55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661B82" w:rsidRDefault="000004CB">
      <w:pPr>
        <w:spacing w:line="383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ulaganja bilo je uvođenje "odredbe o ulaganjima" koja, pod određenim strogim uvjetima, omogućuje privremeno odustajanje od proračunskih ograničenja u vremenima recesije u slučaju da to ulaganje poboljšava d</w:t>
      </w:r>
      <w:r>
        <w:rPr>
          <w:rFonts w:ascii="Arial" w:eastAsia="Arial" w:hAnsi="Arial"/>
          <w:sz w:val="24"/>
        </w:rPr>
        <w:t>ugoročne gospodarske i proračunske izglede. Međutim, odredba o ulaganjima primjenjuje se vrlo ograničeno</w:t>
      </w:r>
      <w:r>
        <w:rPr>
          <w:rFonts w:ascii="Arial" w:eastAsia="Arial" w:hAnsi="Arial"/>
          <w:sz w:val="31"/>
          <w:vertAlign w:val="superscript"/>
        </w:rPr>
        <w:t>4</w:t>
      </w:r>
      <w:r>
        <w:rPr>
          <w:rFonts w:ascii="Arial" w:eastAsia="Arial" w:hAnsi="Arial"/>
          <w:sz w:val="24"/>
        </w:rPr>
        <w:t>.</w:t>
      </w:r>
    </w:p>
    <w:p w:rsidR="00661B82" w:rsidRDefault="00661B82">
      <w:pPr>
        <w:spacing w:line="354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5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Kao gradonačelnici glavnih gradova država Europske unije preporučujemo Europskoj komisiji da omogući javna ulaganja koja su potrebna za dobrobit svih i koja osiguravaju povoljne gospodarske izglede bez obzira na ekonomsku klimu. Mi, gradonačelnici glavnih </w:t>
      </w:r>
      <w:r>
        <w:rPr>
          <w:rFonts w:ascii="Arial" w:eastAsia="Arial" w:hAnsi="Arial"/>
          <w:sz w:val="24"/>
        </w:rPr>
        <w:t>gradova država Europske unije, pozivamo Europsku komisiju da ojača investicijske kapacitete unutar postojećeg institucionalnog okvira koristeći svoje interpretativne mogućnosti vezane za učinak sufinanciranih i nacionalno financiranih javnih ulaganja u svo</w:t>
      </w:r>
      <w:r>
        <w:rPr>
          <w:rFonts w:ascii="Arial" w:eastAsia="Arial" w:hAnsi="Arial"/>
          <w:sz w:val="24"/>
        </w:rPr>
        <w:t xml:space="preserve">joj godišnjoj fiskalnoj procjeni države članice. To bi omogućilo gradovima da u cijelosti doprinesu postizanju ciljeva Europske unije kao što je cilj 9 </w:t>
      </w:r>
      <w:hyperlink r:id="rId7" w:history="1">
        <w:r w:rsidRPr="000004CB">
          <w:rPr>
            <w:rFonts w:ascii="Arial" w:eastAsia="Arial" w:hAnsi="Arial"/>
            <w:sz w:val="24"/>
            <w:u w:val="single"/>
          </w:rPr>
          <w:t xml:space="preserve">Kohezijske politike EU </w:t>
        </w:r>
        <w:r w:rsidRPr="000004CB">
          <w:rPr>
            <w:rFonts w:ascii="Arial" w:eastAsia="Arial" w:hAnsi="Arial"/>
            <w:sz w:val="24"/>
            <w:u w:val="single"/>
          </w:rPr>
          <w:t>2014</w:t>
        </w:r>
        <w:r w:rsidRPr="000004CB">
          <w:rPr>
            <w:rFonts w:ascii="Arial" w:eastAsia="Arial" w:hAnsi="Arial"/>
            <w:sz w:val="24"/>
            <w:u w:val="single"/>
          </w:rPr>
          <w:t>.</w:t>
        </w:r>
      </w:hyperlink>
      <w:r w:rsidRPr="000004CB">
        <w:rPr>
          <w:rFonts w:ascii="Arial" w:eastAsia="Arial" w:hAnsi="Arial"/>
          <w:sz w:val="24"/>
          <w:u w:val="single"/>
        </w:rPr>
        <w:t>-2</w:t>
      </w:r>
      <w:r>
        <w:rPr>
          <w:rFonts w:ascii="Arial" w:eastAsia="Arial" w:hAnsi="Arial"/>
          <w:sz w:val="24"/>
          <w:u w:val="single"/>
        </w:rPr>
        <w:t>020.</w:t>
      </w:r>
      <w:r>
        <w:rPr>
          <w:rFonts w:ascii="Arial" w:eastAsia="Arial" w:hAnsi="Arial"/>
          <w:sz w:val="31"/>
          <w:vertAlign w:val="superscript"/>
        </w:rPr>
        <w:t>5</w:t>
      </w:r>
      <w:r>
        <w:rPr>
          <w:rFonts w:ascii="Arial" w:eastAsia="Arial" w:hAnsi="Arial"/>
          <w:sz w:val="24"/>
        </w:rPr>
        <w:t>: "Promicanje društvene uključenosti i suzbijanje siromaštva i diskriminacije", koji također dopušta tumačenje stambene politike kao strukturne reforme.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99" w:lineRule="exact"/>
        <w:rPr>
          <w:rFonts w:ascii="Times New Roman" w:eastAsia="Times New Roman" w:hAnsi="Times New Roman"/>
        </w:rPr>
      </w:pPr>
    </w:p>
    <w:p w:rsidR="00661B82" w:rsidRDefault="000004CB" w:rsidP="000004CB">
      <w:pPr>
        <w:spacing w:line="381" w:lineRule="auto"/>
        <w:ind w:right="4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Također pozivamo zemlje članice da osiguraju da gradovi imaju financijska sredstva i odgovara</w:t>
      </w:r>
      <w:r>
        <w:rPr>
          <w:rFonts w:ascii="Arial" w:eastAsia="Arial" w:hAnsi="Arial"/>
          <w:sz w:val="24"/>
        </w:rPr>
        <w:t>juće ovlasti za donošenje investicijskih odluka neophodnih za održivi gospodarski rast, koje su u skladu s planovima urbanog razvoja i odgovorne prema biračima na lokalnoj razini. Primjena Europske povelje o lokalnoj samoupravi jedan je od instrumenata koj</w:t>
      </w:r>
      <w:r>
        <w:rPr>
          <w:rFonts w:ascii="Arial" w:eastAsia="Arial" w:hAnsi="Arial"/>
          <w:sz w:val="24"/>
        </w:rPr>
        <w:t>i bi se mogli upotrijebiti u tu svrhu.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49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9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 obzirom na poteškoće u postizanju standarda ESA 2010 bez izmjena ugovora, skrećemo pozornost na preporuke Radne skupine na visokoj razini za ulaganje u društvenu infrastrukturu u Europi i mišljenje "Prijedlozi za reformu Ekonomske i monetarne unije" koje</w:t>
      </w:r>
      <w:r>
        <w:rPr>
          <w:rFonts w:ascii="Arial" w:eastAsia="Arial" w:hAnsi="Arial"/>
          <w:sz w:val="24"/>
        </w:rPr>
        <w:t xml:space="preserve"> je objavio Europski odbor regija</w:t>
      </w:r>
    </w:p>
    <w:p w:rsidR="00661B82" w:rsidRDefault="000004CB">
      <w:pPr>
        <w:spacing w:line="362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4"/>
        </w:rPr>
        <w:pict>
          <v:line id="_x0000_s1028" style="position:absolute;z-index:-4" from="0,16.15pt" to="2in,16.15pt" o:allowincell="f" o:userdrawn="t" strokeweight=".21164mm"/>
        </w:pict>
      </w:r>
    </w:p>
    <w:p w:rsidR="00661B82" w:rsidRPr="00264629" w:rsidRDefault="000004CB">
      <w:pPr>
        <w:numPr>
          <w:ilvl w:val="0"/>
          <w:numId w:val="2"/>
        </w:numPr>
        <w:tabs>
          <w:tab w:val="left" w:pos="120"/>
        </w:tabs>
        <w:spacing w:line="239" w:lineRule="auto"/>
        <w:ind w:left="120" w:hanging="120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264629">
        <w:rPr>
          <w:rFonts w:ascii="Times New Roman" w:eastAsia="Times New Roman" w:hAnsi="Times New Roman"/>
          <w:sz w:val="22"/>
          <w:szCs w:val="22"/>
        </w:rPr>
        <w:t>https://ec.europa.eu/info/sites/info/files/economy-finance/com_2018_335_en.pdf</w:t>
      </w:r>
    </w:p>
    <w:p w:rsidR="00661B82" w:rsidRPr="00264629" w:rsidRDefault="00661B82">
      <w:pPr>
        <w:spacing w:line="22" w:lineRule="exact"/>
        <w:rPr>
          <w:rFonts w:ascii="Times New Roman" w:eastAsia="Times New Roman" w:hAnsi="Times New Roman"/>
          <w:sz w:val="22"/>
          <w:szCs w:val="22"/>
          <w:vertAlign w:val="superscript"/>
        </w:rPr>
      </w:pPr>
    </w:p>
    <w:p w:rsidR="00661B82" w:rsidRPr="00264629" w:rsidRDefault="000004CB">
      <w:pPr>
        <w:numPr>
          <w:ilvl w:val="0"/>
          <w:numId w:val="2"/>
        </w:numPr>
        <w:tabs>
          <w:tab w:val="left" w:pos="120"/>
        </w:tabs>
        <w:spacing w:line="186" w:lineRule="auto"/>
        <w:ind w:left="120" w:hanging="120"/>
        <w:jc w:val="both"/>
        <w:rPr>
          <w:rFonts w:ascii="Times New Roman" w:eastAsia="Times New Roman" w:hAnsi="Times New Roman"/>
          <w:sz w:val="22"/>
          <w:szCs w:val="22"/>
          <w:u w:val="single"/>
        </w:rPr>
      </w:pPr>
      <w:hyperlink r:id="rId8" w:history="1">
        <w:r w:rsidRPr="00264629">
          <w:rPr>
            <w:rFonts w:ascii="Times New Roman" w:eastAsia="Times New Roman" w:hAnsi="Times New Roman"/>
            <w:sz w:val="22"/>
            <w:szCs w:val="22"/>
            <w:u w:val="single"/>
          </w:rPr>
          <w:t>http://ec.europa.eu/regional_policy/en/policy/how/priorities</w:t>
        </w:r>
      </w:hyperlink>
    </w:p>
    <w:p w:rsidR="00661B82" w:rsidRPr="00264629" w:rsidRDefault="00661B82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84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8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</w:p>
    <w:p w:rsidR="00661B82" w:rsidRDefault="00661B82">
      <w:pPr>
        <w:spacing w:line="0" w:lineRule="atLeast"/>
        <w:ind w:left="8900"/>
        <w:rPr>
          <w:rFonts w:ascii="Times New Roman" w:eastAsia="Times New Roman" w:hAnsi="Times New Roman"/>
          <w:sz w:val="24"/>
        </w:rPr>
        <w:sectPr w:rsidR="00661B82">
          <w:pgSz w:w="11900" w:h="16840"/>
          <w:pgMar w:top="1440" w:right="1440" w:bottom="435" w:left="1440" w:header="0" w:footer="0" w:gutter="0"/>
          <w:cols w:space="0" w:equalWidth="0">
            <w:col w:w="9020"/>
          </w:cols>
          <w:docGrid w:linePitch="360"/>
        </w:sectPr>
      </w:pPr>
    </w:p>
    <w:p w:rsidR="00661B82" w:rsidRDefault="00661B82">
      <w:pPr>
        <w:spacing w:line="53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661B82" w:rsidRDefault="000004CB">
      <w:pPr>
        <w:spacing w:line="327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</w:t>
      </w:r>
      <w:proofErr w:type="spellStart"/>
      <w:r>
        <w:rPr>
          <w:rFonts w:ascii="Arial" w:eastAsia="Arial" w:hAnsi="Arial"/>
          <w:sz w:val="24"/>
        </w:rPr>
        <w:t>CoR</w:t>
      </w:r>
      <w:proofErr w:type="spellEnd"/>
      <w:r>
        <w:rPr>
          <w:rFonts w:ascii="Arial" w:eastAsia="Arial" w:hAnsi="Arial"/>
          <w:sz w:val="24"/>
        </w:rPr>
        <w:t>) u prosincu 2017. godine</w:t>
      </w:r>
      <w:r>
        <w:rPr>
          <w:rFonts w:ascii="Arial" w:eastAsia="Arial" w:hAnsi="Arial"/>
          <w:sz w:val="31"/>
          <w:vertAlign w:val="superscript"/>
        </w:rPr>
        <w:t>6</w:t>
      </w:r>
      <w:r>
        <w:rPr>
          <w:rFonts w:ascii="Arial" w:eastAsia="Arial" w:hAnsi="Arial"/>
          <w:sz w:val="24"/>
        </w:rPr>
        <w:t>. Odbor poziva Europsku komisiju da objavi bijelu knjigu kojom se na razini EU-a utvrđuje tipologija za kvalitetu javnih ulaganja u evidencijama javnih izdataka, na temelju njihovih dugoročnih učinaka.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54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4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Vezano za rješavanje manjka ulaganja, također poziva</w:t>
      </w:r>
      <w:r>
        <w:rPr>
          <w:rFonts w:ascii="Arial" w:eastAsia="Arial" w:hAnsi="Arial"/>
          <w:sz w:val="24"/>
        </w:rPr>
        <w:t>mo Komisiju da uzme u obzir prijedloge mnogih stručnjaka za ponovnu procjenu kriterija pristupa odredbe o ulaganjima.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99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4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 potpunosti podupiremo EUROCITIES i CEMR u njihovom radu i razmišljanju o dugoročnim javnim ulaganjima i potičemo Europsku komisiju i d</w:t>
      </w:r>
      <w:r>
        <w:rPr>
          <w:rFonts w:ascii="Arial" w:eastAsia="Arial" w:hAnsi="Arial"/>
          <w:sz w:val="24"/>
        </w:rPr>
        <w:t>ržave članice da uzmu u obzir sva stajališta i prijedloge gradova koji slijede taj pristup.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00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3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Mi, gradonačelnici glavnih gradova država EU-a, vjerujemo da održiva javna ulaganja pozitivno utječu na svakodnevni život naših građana, pridonose socijalnoj kohe</w:t>
      </w:r>
      <w:r>
        <w:rPr>
          <w:rFonts w:ascii="Arial" w:eastAsia="Arial" w:hAnsi="Arial"/>
          <w:sz w:val="24"/>
        </w:rPr>
        <w:t>ziji, povoljni su za naša lokalna gospodarstva i omogućuju dugoročno jačanje konkurentnosti europskog gospodarstva. To su pokretačke snage za ponovno pokretanje projekta EU-a, što će osigurati bolju kvalitetu života našem današnjem stanovništvu i od čega ć</w:t>
      </w:r>
      <w:r>
        <w:rPr>
          <w:rFonts w:ascii="Arial" w:eastAsia="Arial" w:hAnsi="Arial"/>
          <w:sz w:val="24"/>
        </w:rPr>
        <w:t>e također imati koristi budući naraštaji.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87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15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O budućoj kohezijskoj politici, MFF-u i </w:t>
      </w:r>
      <w:proofErr w:type="spellStart"/>
      <w:r>
        <w:rPr>
          <w:rFonts w:ascii="Arial" w:eastAsia="Arial" w:hAnsi="Arial"/>
          <w:b/>
          <w:sz w:val="28"/>
        </w:rPr>
        <w:t>Brexitu</w:t>
      </w:r>
      <w:proofErr w:type="spellEnd"/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66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9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Gradonačelnici glavnih gradova odlučno se zalažu za proračun EU-a koji bi mogao odgovoriti na višestruke izazove u budućnosti. Uvažavamo prijedlog Europske komisije za Višegodišnji financijski okvir (MFF) za razdoblje  2021. - 2027., koji je usko vezan za </w:t>
      </w:r>
      <w:r>
        <w:rPr>
          <w:rFonts w:ascii="Arial" w:eastAsia="Arial" w:hAnsi="Arial"/>
          <w:sz w:val="24"/>
        </w:rPr>
        <w:t>političke prioritete Unije.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94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4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Gradonačelnici glavnih gradova traže od država članica da podupru predložene obveze u vrijednosti 1,114 % proračuna bruto nacionalnog dohotka EU-27 za 2021.-2027. Smanjenje predloženih obveza ugrozilo bi modernizaciju</w:t>
      </w:r>
    </w:p>
    <w:p w:rsidR="00661B82" w:rsidRDefault="000004CB">
      <w:pPr>
        <w:spacing w:line="354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4"/>
        </w:rPr>
        <w:pict>
          <v:line id="_x0000_s1029" style="position:absolute;z-index:-3" from="0,12.6pt" to="2in,12.6pt" o:allowincell="f" o:userdrawn="t" strokeweight=".21164mm"/>
        </w:pict>
      </w:r>
    </w:p>
    <w:p w:rsidR="00661B82" w:rsidRDefault="000004CB">
      <w:p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8"/>
          <w:vertAlign w:val="superscript"/>
        </w:rPr>
        <w:t>6</w:t>
      </w:r>
      <w:r>
        <w:rPr>
          <w:rFonts w:ascii="Times New Roman" w:eastAsia="Times New Roman" w:hAnsi="Times New Roman"/>
          <w:sz w:val="22"/>
        </w:rPr>
        <w:t xml:space="preserve"> https://webapi.cor.europa.eu/documentsanonymous/cor-2018-01039-00-00-ac-tra-en.docx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69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8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</w:p>
    <w:p w:rsidR="00661B82" w:rsidRDefault="00661B82">
      <w:pPr>
        <w:spacing w:line="0" w:lineRule="atLeast"/>
        <w:ind w:left="8900"/>
        <w:rPr>
          <w:rFonts w:ascii="Times New Roman" w:eastAsia="Times New Roman" w:hAnsi="Times New Roman"/>
          <w:sz w:val="24"/>
        </w:rPr>
        <w:sectPr w:rsidR="00661B82">
          <w:pgSz w:w="11900" w:h="16840"/>
          <w:pgMar w:top="1440" w:right="1440" w:bottom="435" w:left="1440" w:header="0" w:footer="0" w:gutter="0"/>
          <w:cols w:space="0" w:equalWidth="0">
            <w:col w:w="9020"/>
          </w:cols>
          <w:docGrid w:linePitch="360"/>
        </w:sectPr>
      </w:pPr>
    </w:p>
    <w:p w:rsidR="00661B82" w:rsidRDefault="00661B82">
      <w:pPr>
        <w:spacing w:line="55" w:lineRule="exact"/>
        <w:rPr>
          <w:rFonts w:ascii="Times New Roman" w:eastAsia="Times New Roman" w:hAnsi="Times New Roman"/>
        </w:rPr>
      </w:pPr>
      <w:bookmarkStart w:id="4" w:name="page5"/>
      <w:bookmarkEnd w:id="4"/>
    </w:p>
    <w:p w:rsidR="00661B82" w:rsidRDefault="000004CB">
      <w:pPr>
        <w:spacing w:line="359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proračuna, potkopalo učinkovitost politike EU na terenu i oslabilo javnu potporu europskoj integraciji.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16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5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Gradonačelnici glavnih gradova po</w:t>
      </w:r>
      <w:r>
        <w:rPr>
          <w:rFonts w:ascii="Arial" w:eastAsia="Arial" w:hAnsi="Arial"/>
          <w:sz w:val="24"/>
        </w:rPr>
        <w:t>sebno žale zbog značajnih smanjenja proračuna Kohezijske politike: 10% u stvarnoj vrijednosti u odnosu na razdoblje 2014.-2020. Europsko vijeće i komisija otvoreno su i opetovano prepoznali pozitivan učinak koji je kohezijska politika imala u prošlosti i n</w:t>
      </w:r>
      <w:r>
        <w:rPr>
          <w:rFonts w:ascii="Arial" w:eastAsia="Arial" w:hAnsi="Arial"/>
          <w:sz w:val="24"/>
        </w:rPr>
        <w:t xml:space="preserve">jezin potencijal za budućnost. Podsjećamo da je promicanje gospodarske, društvene i teritorijalne kohezije jedan od ciljeva Ugovora i da Sedmo izvješće o koheziji </w:t>
      </w:r>
      <w:r>
        <w:rPr>
          <w:rFonts w:ascii="Arial" w:eastAsia="Arial" w:hAnsi="Arial"/>
          <w:sz w:val="31"/>
          <w:vertAlign w:val="superscript"/>
        </w:rPr>
        <w:t>7</w:t>
      </w:r>
      <w:r>
        <w:rPr>
          <w:rFonts w:ascii="Arial" w:eastAsia="Arial" w:hAnsi="Arial"/>
          <w:sz w:val="24"/>
        </w:rPr>
        <w:t xml:space="preserve"> pokazuje da kohezijska politika uistinu ostvaruje taj cilj. U vrijeme kad se Europska unija</w:t>
      </w:r>
      <w:r>
        <w:rPr>
          <w:rFonts w:ascii="Arial" w:eastAsia="Arial" w:hAnsi="Arial"/>
          <w:sz w:val="24"/>
        </w:rPr>
        <w:t xml:space="preserve"> suočava s mnoštvom kriza, vjerujemo da nam je potrebna snažna kohezijska politika u kojoj se europski, nacionalni, regionalni i lokalni prioriteti približavaju i isprepliću. Također vjerujemo da je kohezijski proračun posebno važan jer je to jedna od najv</w:t>
      </w:r>
      <w:r>
        <w:rPr>
          <w:rFonts w:ascii="Arial" w:eastAsia="Arial" w:hAnsi="Arial"/>
          <w:sz w:val="24"/>
        </w:rPr>
        <w:t>idljivijih europskih politika u svakodnevnom životu naših građana.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00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3" w:lineRule="auto"/>
        <w:ind w:firstLine="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Unatoč razočaravajućem proračunu dodijeljenom Kohezijskoj politici u okviru novog prijedloga MFF-a, gradonačelnici glavnih gradova država EU-a pozdravljaju poboljšane tekstove nacrta propisa za sljedeće razdoblje financiranja. Prijedlozi za pojednostavljen</w:t>
      </w:r>
      <w:r>
        <w:rPr>
          <w:rFonts w:ascii="Arial" w:eastAsia="Arial" w:hAnsi="Arial"/>
          <w:sz w:val="24"/>
        </w:rPr>
        <w:t>je upravljanja fondom bit će posebno važni za poboljšanje učinkovitosti i načina na koji krajnji korisnici na terenu percipiraju politiku.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90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3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Podržavamo prijedlog dodjele najmanje 6 posto sredstava ERDF-a na nacionalnoj razini za održivi urbani razvoj i pot</w:t>
      </w:r>
      <w:r>
        <w:rPr>
          <w:rFonts w:ascii="Arial" w:eastAsia="Arial" w:hAnsi="Arial"/>
          <w:sz w:val="24"/>
        </w:rPr>
        <w:t>ičemo postavljanje praga na 10%. Glavni gradovi pozivaju Europsku komisiju da razmotri izravnu raspodjelu tih sredstava glavnim gradovima ili kao namjenski proračun u nacionalnim ili regionalnim Operativnim programima. Međutim, to bi također zahtijevalo ja</w:t>
      </w:r>
      <w:r>
        <w:rPr>
          <w:rFonts w:ascii="Arial" w:eastAsia="Arial" w:hAnsi="Arial"/>
          <w:sz w:val="24"/>
        </w:rPr>
        <w:t>sniji postupak delegiranja gradskim vlastima kako bi se osigurala njihova učinkovita uključenost i administrativni kapaciteti.</w:t>
      </w:r>
    </w:p>
    <w:p w:rsidR="00661B82" w:rsidRDefault="000004CB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4"/>
        </w:rPr>
        <w:pict>
          <v:line id="_x0000_s1030" style="position:absolute;z-index:-2" from="0,16.95pt" to="2in,16.95pt" o:allowincell="f" o:userdrawn="t" strokeweight=".21164mm"/>
        </w:pict>
      </w:r>
    </w:p>
    <w:p w:rsidR="00661B82" w:rsidRDefault="00661B82">
      <w:pPr>
        <w:spacing w:line="241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8"/>
          <w:vertAlign w:val="superscript"/>
        </w:rPr>
        <w:t>7</w:t>
      </w:r>
      <w:r>
        <w:rPr>
          <w:rFonts w:ascii="Times New Roman" w:eastAsia="Times New Roman" w:hAnsi="Times New Roman"/>
          <w:sz w:val="22"/>
        </w:rPr>
        <w:t xml:space="preserve"> http://ec.europa.eu/regional_policy/sources/docoffic/official/reports/cohesion7/7cr.pdf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69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8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</w:p>
    <w:p w:rsidR="00661B82" w:rsidRDefault="00661B82">
      <w:pPr>
        <w:spacing w:line="0" w:lineRule="atLeast"/>
        <w:ind w:left="8900"/>
        <w:rPr>
          <w:rFonts w:ascii="Times New Roman" w:eastAsia="Times New Roman" w:hAnsi="Times New Roman"/>
          <w:sz w:val="24"/>
        </w:rPr>
        <w:sectPr w:rsidR="00661B82">
          <w:pgSz w:w="11900" w:h="16840"/>
          <w:pgMar w:top="1440" w:right="1440" w:bottom="435" w:left="1440" w:header="0" w:footer="0" w:gutter="0"/>
          <w:cols w:space="0" w:equalWidth="0">
            <w:col w:w="9020"/>
          </w:cols>
          <w:docGrid w:linePitch="360"/>
        </w:sect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  <w:bookmarkStart w:id="5" w:name="page6"/>
      <w:bookmarkEnd w:id="5"/>
    </w:p>
    <w:p w:rsidR="00661B82" w:rsidRDefault="00661B82">
      <w:pPr>
        <w:spacing w:line="302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4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Gla</w:t>
      </w:r>
      <w:r>
        <w:rPr>
          <w:rFonts w:ascii="Arial" w:eastAsia="Arial" w:hAnsi="Arial"/>
          <w:sz w:val="24"/>
        </w:rPr>
        <w:t>vni gradovi također posebno pozdravljaju prijedloge Europske komisije za poticanje lokalnog pristupa organiziranog oko funkcionalnih područja koja prelaze administrativne granice. Naglašavamo da je za provedbu takvih programa nužna snažna suradnja i partne</w:t>
      </w:r>
      <w:r>
        <w:rPr>
          <w:rFonts w:ascii="Arial" w:eastAsia="Arial" w:hAnsi="Arial"/>
          <w:sz w:val="24"/>
        </w:rPr>
        <w:t>rstvo svih razina vlasti. Glavni gradovi obratit će posebnu pozornost na definiciju i važnost koja se pridaje tom načelu partnerstva u novim propisima i smatraju da se mora uključiti u povezane procese.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88" w:lineRule="exact"/>
        <w:rPr>
          <w:rFonts w:ascii="Times New Roman" w:eastAsia="Times New Roman" w:hAnsi="Times New Roman"/>
        </w:rPr>
      </w:pPr>
    </w:p>
    <w:p w:rsidR="00661B82" w:rsidRPr="000004CB" w:rsidRDefault="000004CB" w:rsidP="000004CB">
      <w:pPr>
        <w:spacing w:line="395" w:lineRule="auto"/>
        <w:ind w:right="160"/>
        <w:jc w:val="both"/>
        <w:rPr>
          <w:rFonts w:ascii="Arial" w:eastAsia="Arial" w:hAnsi="Arial"/>
          <w:sz w:val="24"/>
          <w:szCs w:val="24"/>
        </w:rPr>
      </w:pPr>
      <w:r w:rsidRPr="000004CB">
        <w:rPr>
          <w:rFonts w:ascii="Arial" w:eastAsia="Arial" w:hAnsi="Arial"/>
          <w:sz w:val="24"/>
          <w:szCs w:val="24"/>
        </w:rPr>
        <w:t>Glavni gradovi podsjećaju na važnost Europske unije</w:t>
      </w:r>
      <w:r w:rsidRPr="000004CB">
        <w:rPr>
          <w:rFonts w:ascii="Arial" w:eastAsia="Arial" w:hAnsi="Arial"/>
          <w:sz w:val="24"/>
          <w:szCs w:val="24"/>
        </w:rPr>
        <w:t xml:space="preserve"> kao globalnog čimbenika, posebno na njezin ključni doprinos održivom razvoju koji čini temelj europskih vrijednosti i predstavlja opći cilj EU-a, kako je utvrđeno ugovorima.</w:t>
      </w:r>
    </w:p>
    <w:p w:rsidR="00661B82" w:rsidRDefault="00661B82" w:rsidP="000004CB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661B82" w:rsidRDefault="000004CB" w:rsidP="000004CB">
      <w:pPr>
        <w:spacing w:line="382" w:lineRule="auto"/>
        <w:ind w:right="24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U tom smislu, odgovor EU-a na Program 2030. trebao bi biti osnova za definiciju dugoročne vizije Europske unije i trebalo bi se razmotriti preusmjeravanje proračuna EU-a ka postizanju dugoročnih ciljeva EU-a nakon 2020. godine, kako je navedeno u zaključci</w:t>
      </w:r>
      <w:r>
        <w:rPr>
          <w:rFonts w:ascii="Arial" w:eastAsia="Arial" w:hAnsi="Arial"/>
          <w:sz w:val="24"/>
        </w:rPr>
        <w:t>ma Vijeća</w:t>
      </w:r>
      <w:r>
        <w:rPr>
          <w:rFonts w:ascii="Arial" w:eastAsia="Arial" w:hAnsi="Arial"/>
          <w:sz w:val="31"/>
          <w:vertAlign w:val="superscript"/>
        </w:rPr>
        <w:t>8</w:t>
      </w:r>
      <w:r>
        <w:rPr>
          <w:rFonts w:ascii="Arial" w:eastAsia="Arial" w:hAnsi="Arial"/>
          <w:sz w:val="24"/>
        </w:rPr>
        <w:t xml:space="preserve"> i Priopćenju Komisije</w:t>
      </w:r>
      <w:r>
        <w:rPr>
          <w:rFonts w:ascii="Arial" w:eastAsia="Arial" w:hAnsi="Arial"/>
          <w:sz w:val="31"/>
          <w:vertAlign w:val="superscript"/>
        </w:rPr>
        <w:t>9</w:t>
      </w:r>
      <w:r>
        <w:rPr>
          <w:rFonts w:ascii="Arial" w:eastAsia="Arial" w:hAnsi="Arial"/>
          <w:sz w:val="24"/>
        </w:rPr>
        <w:t>.</w:t>
      </w:r>
    </w:p>
    <w:p w:rsidR="00661B82" w:rsidRDefault="00661B82">
      <w:pPr>
        <w:spacing w:line="352" w:lineRule="exact"/>
        <w:rPr>
          <w:rFonts w:ascii="Times New Roman" w:eastAsia="Times New Roman" w:hAnsi="Times New Roman"/>
        </w:rPr>
      </w:pPr>
    </w:p>
    <w:p w:rsidR="00661B82" w:rsidRDefault="000004CB" w:rsidP="000004CB">
      <w:pPr>
        <w:spacing w:line="386" w:lineRule="auto"/>
        <w:ind w:right="8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Gradonačelnici glavnih gradova država EU žale zbog odluke Vlade Ujedinjenog Kraljevstva da napusti EU i pozivaju na uspostavljanje što je moguće </w:t>
      </w:r>
      <w:proofErr w:type="spellStart"/>
      <w:r>
        <w:rPr>
          <w:rFonts w:ascii="Arial" w:eastAsia="Arial" w:hAnsi="Arial"/>
          <w:sz w:val="24"/>
        </w:rPr>
        <w:t>bliskijeg</w:t>
      </w:r>
      <w:proofErr w:type="spellEnd"/>
      <w:r>
        <w:rPr>
          <w:rFonts w:ascii="Arial" w:eastAsia="Arial" w:hAnsi="Arial"/>
          <w:sz w:val="24"/>
        </w:rPr>
        <w:t xml:space="preserve"> odnosa između EU27 i UK-a u budućnosti, istodobno shvaćajući da ć</w:t>
      </w:r>
      <w:r>
        <w:rPr>
          <w:rFonts w:ascii="Arial" w:eastAsia="Arial" w:hAnsi="Arial"/>
          <w:sz w:val="24"/>
        </w:rPr>
        <w:t xml:space="preserve">e taj odnos morati u potpunosti poštovati integritet europskog jedinstvenog tržišta i nedjeljivost njegovih četiriju sloboda. Od ključne je važnosti da pregovori </w:t>
      </w:r>
      <w:proofErr w:type="spellStart"/>
      <w:r>
        <w:rPr>
          <w:rFonts w:ascii="Arial" w:eastAsia="Arial" w:hAnsi="Arial"/>
          <w:sz w:val="24"/>
        </w:rPr>
        <w:t>Brexita</w:t>
      </w:r>
      <w:proofErr w:type="spellEnd"/>
      <w:r>
        <w:rPr>
          <w:rFonts w:ascii="Arial" w:eastAsia="Arial" w:hAnsi="Arial"/>
          <w:sz w:val="24"/>
        </w:rPr>
        <w:t xml:space="preserve"> svedu na najmanju moguću mjeru posljedične gospodarske poremećaje. Nakon dogovora o ur</w:t>
      </w:r>
      <w:r>
        <w:rPr>
          <w:rFonts w:ascii="Arial" w:eastAsia="Arial" w:hAnsi="Arial"/>
          <w:sz w:val="24"/>
        </w:rPr>
        <w:t xml:space="preserve">ednom </w:t>
      </w:r>
      <w:proofErr w:type="spellStart"/>
      <w:r>
        <w:rPr>
          <w:rFonts w:ascii="Arial" w:eastAsia="Arial" w:hAnsi="Arial"/>
          <w:sz w:val="24"/>
        </w:rPr>
        <w:t>Brexitu</w:t>
      </w:r>
      <w:proofErr w:type="spellEnd"/>
      <w:r>
        <w:rPr>
          <w:rFonts w:ascii="Arial" w:eastAsia="Arial" w:hAnsi="Arial"/>
          <w:sz w:val="24"/>
        </w:rPr>
        <w:t xml:space="preserve">, vjerujemo da bi novi MFF mogao omogućiti UK da se uključi, koliko je to moguće za treću zemlju, u ključne programe financiranja. U tom smislu osobito ističemo Obzor, ali to može podrazumijevati i programe u okviru Europske </w:t>
      </w:r>
      <w:r>
        <w:rPr>
          <w:rFonts w:ascii="Arial" w:eastAsia="Arial" w:hAnsi="Arial"/>
          <w:sz w:val="24"/>
        </w:rPr>
        <w:t>inicijative</w:t>
      </w:r>
      <w:r w:rsidR="00264629">
        <w:rPr>
          <w:rFonts w:ascii="Arial" w:eastAsia="Arial" w:hAnsi="Arial"/>
          <w:sz w:val="24"/>
        </w:rPr>
        <w:t xml:space="preserve"> za gradove</w:t>
      </w:r>
      <w:r>
        <w:rPr>
          <w:rFonts w:ascii="Arial" w:eastAsia="Arial" w:hAnsi="Arial"/>
          <w:sz w:val="24"/>
        </w:rPr>
        <w:t xml:space="preserve"> i druge relevantne programe financiranja i suradnje. Pozivamo Komisiju da razmotri kako bi gradovi u UK-u mogli nastaviti</w:t>
      </w:r>
    </w:p>
    <w:p w:rsidR="00661B82" w:rsidRDefault="000004CB">
      <w:pPr>
        <w:spacing w:line="18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4"/>
        </w:rPr>
        <w:pict>
          <v:line id="_x0000_s1031" style="position:absolute;z-index:-1" from="0,.85pt" to="2in,.85pt" o:allowincell="f" o:userdrawn="t" strokeweight=".21164mm"/>
        </w:pict>
      </w:r>
    </w:p>
    <w:p w:rsidR="00661B82" w:rsidRDefault="000004CB">
      <w:pPr>
        <w:numPr>
          <w:ilvl w:val="0"/>
          <w:numId w:val="3"/>
        </w:numPr>
        <w:tabs>
          <w:tab w:val="left" w:pos="126"/>
        </w:tabs>
        <w:spacing w:line="188" w:lineRule="auto"/>
        <w:ind w:right="1120"/>
        <w:jc w:val="both"/>
        <w:rPr>
          <w:rFonts w:ascii="Times New Roman" w:eastAsia="Times New Roman" w:hAnsi="Times New Roman"/>
          <w:sz w:val="28"/>
          <w:vertAlign w:val="superscript"/>
        </w:rPr>
      </w:pPr>
      <w:r>
        <w:rPr>
          <w:rFonts w:ascii="Times New Roman" w:eastAsia="Times New Roman" w:hAnsi="Times New Roman"/>
          <w:sz w:val="22"/>
        </w:rPr>
        <w:t>http://www.consilium.europa.eu/en/press/press-releases/2017/06/20/agenda-sustainable-development/</w:t>
      </w:r>
    </w:p>
    <w:p w:rsidR="00661B82" w:rsidRDefault="00661B82">
      <w:pPr>
        <w:spacing w:line="56" w:lineRule="exact"/>
        <w:rPr>
          <w:rFonts w:ascii="Times New Roman" w:eastAsia="Times New Roman" w:hAnsi="Times New Roman"/>
          <w:sz w:val="28"/>
          <w:vertAlign w:val="superscript"/>
        </w:rPr>
      </w:pPr>
    </w:p>
    <w:p w:rsidR="00661B82" w:rsidRDefault="000004CB">
      <w:pPr>
        <w:numPr>
          <w:ilvl w:val="0"/>
          <w:numId w:val="3"/>
        </w:numPr>
        <w:tabs>
          <w:tab w:val="left" w:pos="126"/>
        </w:tabs>
        <w:spacing w:line="196" w:lineRule="auto"/>
        <w:ind w:right="280"/>
        <w:jc w:val="both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sz w:val="21"/>
        </w:rPr>
        <w:t>http://www.consilium.europa.eu/register/en/content/out/?&amp;typ=ENTRY&amp;i=ADV&amp;DOC_ID=ST-14774-2016-INIT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31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</w:p>
    <w:p w:rsidR="00661B82" w:rsidRDefault="00661B82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661B82">
          <w:pgSz w:w="11900" w:h="16840"/>
          <w:pgMar w:top="1440" w:right="1440" w:bottom="435" w:left="1440" w:header="0" w:footer="0" w:gutter="0"/>
          <w:cols w:space="0" w:equalWidth="0">
            <w:col w:w="9020"/>
          </w:cols>
          <w:docGrid w:linePitch="360"/>
        </w:sectPr>
      </w:pPr>
    </w:p>
    <w:p w:rsidR="00661B82" w:rsidRDefault="00661B82">
      <w:pPr>
        <w:spacing w:line="55" w:lineRule="exact"/>
        <w:rPr>
          <w:rFonts w:ascii="Times New Roman" w:eastAsia="Times New Roman" w:hAnsi="Times New Roman"/>
        </w:rPr>
      </w:pPr>
      <w:bookmarkStart w:id="6" w:name="page7"/>
      <w:bookmarkEnd w:id="6"/>
    </w:p>
    <w:p w:rsidR="00661B82" w:rsidRDefault="000004CB" w:rsidP="000004CB">
      <w:pPr>
        <w:spacing w:line="374" w:lineRule="auto"/>
        <w:ind w:right="-5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svoje sudjelovanje u procesu </w:t>
      </w:r>
      <w:r w:rsidR="00264629">
        <w:rPr>
          <w:rFonts w:ascii="Arial" w:eastAsia="Arial" w:hAnsi="Arial"/>
          <w:sz w:val="24"/>
        </w:rPr>
        <w:t>P</w:t>
      </w:r>
      <w:r>
        <w:rPr>
          <w:rFonts w:ascii="Arial" w:eastAsia="Arial" w:hAnsi="Arial"/>
          <w:sz w:val="24"/>
        </w:rPr>
        <w:t>rograma</w:t>
      </w:r>
      <w:r w:rsidR="00264629">
        <w:rPr>
          <w:rFonts w:ascii="Arial" w:eastAsia="Arial" w:hAnsi="Arial"/>
          <w:sz w:val="24"/>
        </w:rPr>
        <w:t xml:space="preserve"> za gradove</w:t>
      </w:r>
      <w:r>
        <w:rPr>
          <w:rFonts w:ascii="Arial" w:eastAsia="Arial" w:hAnsi="Arial"/>
          <w:sz w:val="24"/>
        </w:rPr>
        <w:t>. Gradonačelnici glavnih gradova EU27 raduju se nastavku bliske suradnje s Londo</w:t>
      </w:r>
      <w:r>
        <w:rPr>
          <w:rFonts w:ascii="Arial" w:eastAsia="Arial" w:hAnsi="Arial"/>
          <w:sz w:val="24"/>
        </w:rPr>
        <w:t>nom i drugim velikim gradovima u Ujedinjenom Kraljevstvu.</w:t>
      </w:r>
    </w:p>
    <w:p w:rsidR="00661B82" w:rsidRDefault="00661B82" w:rsidP="000004CB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661B82" w:rsidRDefault="00661B82">
      <w:pPr>
        <w:spacing w:line="258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24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O </w:t>
      </w:r>
      <w:r w:rsidR="00264629">
        <w:rPr>
          <w:rFonts w:ascii="Arial" w:eastAsia="Arial" w:hAnsi="Arial"/>
          <w:b/>
          <w:sz w:val="28"/>
        </w:rPr>
        <w:t>P</w:t>
      </w:r>
      <w:r>
        <w:rPr>
          <w:rFonts w:ascii="Arial" w:eastAsia="Arial" w:hAnsi="Arial"/>
          <w:b/>
          <w:sz w:val="28"/>
        </w:rPr>
        <w:t xml:space="preserve">rogramu </w:t>
      </w:r>
      <w:r>
        <w:rPr>
          <w:rFonts w:ascii="Arial" w:eastAsia="Arial" w:hAnsi="Arial"/>
          <w:b/>
          <w:sz w:val="28"/>
        </w:rPr>
        <w:t>EU</w:t>
      </w:r>
      <w:r w:rsidR="00264629">
        <w:rPr>
          <w:rFonts w:ascii="Arial" w:eastAsia="Arial" w:hAnsi="Arial"/>
          <w:b/>
          <w:sz w:val="28"/>
        </w:rPr>
        <w:t>-a za gradove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31" w:lineRule="exact"/>
        <w:rPr>
          <w:rFonts w:ascii="Times New Roman" w:eastAsia="Times New Roman" w:hAnsi="Times New Roman"/>
        </w:rPr>
      </w:pPr>
    </w:p>
    <w:p w:rsidR="00661B82" w:rsidRDefault="000004CB" w:rsidP="000004CB">
      <w:pPr>
        <w:spacing w:line="360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Kao gradonačelnike europskih glavnih gradova, ohrabruje nas činjenica da se </w:t>
      </w:r>
      <w:r>
        <w:rPr>
          <w:rFonts w:ascii="Arial" w:eastAsia="Arial" w:hAnsi="Arial"/>
          <w:sz w:val="24"/>
        </w:rPr>
        <w:t>"</w:t>
      </w:r>
      <w:r w:rsidR="00264629">
        <w:rPr>
          <w:rFonts w:ascii="Arial" w:eastAsia="Arial" w:hAnsi="Arial"/>
          <w:sz w:val="24"/>
        </w:rPr>
        <w:t xml:space="preserve">Program </w:t>
      </w:r>
      <w:r>
        <w:rPr>
          <w:rFonts w:ascii="Arial" w:eastAsia="Arial" w:hAnsi="Arial"/>
          <w:sz w:val="24"/>
        </w:rPr>
        <w:t>EU</w:t>
      </w:r>
      <w:r w:rsidR="00264629">
        <w:rPr>
          <w:rFonts w:ascii="Arial" w:eastAsia="Arial" w:hAnsi="Arial"/>
          <w:sz w:val="24"/>
        </w:rPr>
        <w:t>-a za gradove</w:t>
      </w:r>
      <w:r>
        <w:rPr>
          <w:rFonts w:ascii="Arial" w:eastAsia="Arial" w:hAnsi="Arial"/>
          <w:sz w:val="24"/>
        </w:rPr>
        <w:t xml:space="preserve">", koji su države članice utvrdile i koji su podržale institucije EU-a u 'Amsterdamskom paktu' </w:t>
      </w:r>
      <w:bookmarkStart w:id="7" w:name="_GoBack"/>
      <w:bookmarkEnd w:id="7"/>
      <w:r>
        <w:rPr>
          <w:rFonts w:ascii="Arial" w:eastAsia="Arial" w:hAnsi="Arial"/>
          <w:sz w:val="24"/>
        </w:rPr>
        <w:t>2016. godine, razvio u iznimno relevantan okvir za političku suradnju između europskih gradova, država članica, Europske komisije i drugih d</w:t>
      </w:r>
      <w:r>
        <w:rPr>
          <w:rFonts w:ascii="Arial" w:eastAsia="Arial" w:hAnsi="Arial"/>
          <w:sz w:val="24"/>
        </w:rPr>
        <w:t>ionika;</w:t>
      </w:r>
    </w:p>
    <w:p w:rsidR="00661B82" w:rsidRDefault="00661B82" w:rsidP="000004CB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661B82" w:rsidRDefault="00661B82">
      <w:pPr>
        <w:spacing w:line="298" w:lineRule="exact"/>
        <w:rPr>
          <w:rFonts w:ascii="Times New Roman" w:eastAsia="Times New Roman" w:hAnsi="Times New Roman"/>
        </w:rPr>
      </w:pPr>
    </w:p>
    <w:p w:rsidR="00661B82" w:rsidRDefault="000004CB" w:rsidP="000004CB">
      <w:pPr>
        <w:spacing w:line="339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Pozdravljamo priznanje važnosti </w:t>
      </w:r>
      <w:r w:rsidR="00264629">
        <w:rPr>
          <w:rFonts w:ascii="Arial" w:eastAsia="Arial" w:hAnsi="Arial"/>
          <w:sz w:val="24"/>
        </w:rPr>
        <w:t>P</w:t>
      </w:r>
      <w:r>
        <w:rPr>
          <w:rFonts w:ascii="Arial" w:eastAsia="Arial" w:hAnsi="Arial"/>
          <w:sz w:val="24"/>
        </w:rPr>
        <w:t>rograma</w:t>
      </w:r>
      <w:r>
        <w:rPr>
          <w:rFonts w:ascii="Arial" w:eastAsia="Arial" w:hAnsi="Arial"/>
          <w:sz w:val="24"/>
        </w:rPr>
        <w:t xml:space="preserve"> EU</w:t>
      </w:r>
      <w:r w:rsidR="00264629">
        <w:rPr>
          <w:rFonts w:ascii="Arial" w:eastAsia="Arial" w:hAnsi="Arial"/>
          <w:sz w:val="24"/>
        </w:rPr>
        <w:t>-a za gradove</w:t>
      </w:r>
      <w:r>
        <w:rPr>
          <w:rFonts w:ascii="Arial" w:eastAsia="Arial" w:hAnsi="Arial"/>
          <w:sz w:val="24"/>
        </w:rPr>
        <w:t xml:space="preserve"> u rezoluciji Europskog parlamenta usvojenoj 3. srpnja</w:t>
      </w:r>
      <w:r w:rsidR="00264629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2018. godine o "Ulozi gradova u institucionalnom okviru Unije" </w:t>
      </w:r>
      <w:r>
        <w:rPr>
          <w:rFonts w:ascii="Arial" w:eastAsia="Arial" w:hAnsi="Arial"/>
          <w:sz w:val="24"/>
        </w:rPr>
        <w:t>(2017/2037 (INI)); i u mišljenju Odbora regija pod nazivom "Procjena prov</w:t>
      </w:r>
      <w:r>
        <w:rPr>
          <w:rFonts w:ascii="Arial" w:eastAsia="Arial" w:hAnsi="Arial"/>
          <w:sz w:val="24"/>
        </w:rPr>
        <w:t xml:space="preserve">edbe </w:t>
      </w:r>
      <w:r w:rsidR="00264629">
        <w:rPr>
          <w:rFonts w:ascii="Arial" w:eastAsia="Arial" w:hAnsi="Arial"/>
          <w:sz w:val="24"/>
        </w:rPr>
        <w:t>Programa</w:t>
      </w:r>
      <w:r>
        <w:rPr>
          <w:rFonts w:ascii="Arial" w:eastAsia="Arial" w:hAnsi="Arial"/>
          <w:sz w:val="24"/>
        </w:rPr>
        <w:t xml:space="preserve"> EU</w:t>
      </w:r>
      <w:r w:rsidR="00264629">
        <w:rPr>
          <w:rFonts w:ascii="Arial" w:eastAsia="Arial" w:hAnsi="Arial"/>
          <w:sz w:val="24"/>
        </w:rPr>
        <w:t>-a za gradove</w:t>
      </w:r>
      <w:r>
        <w:rPr>
          <w:rFonts w:ascii="Arial" w:eastAsia="Arial" w:hAnsi="Arial"/>
          <w:sz w:val="24"/>
        </w:rPr>
        <w:t>", usvojenom 4. srpnja 2018. godine;</w:t>
      </w:r>
    </w:p>
    <w:p w:rsidR="00661B82" w:rsidRDefault="00661B82">
      <w:pPr>
        <w:spacing w:line="356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7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Pohvaljujemo i podržavamo nedavno objavljeni prijedlog Europske komisije u okviru novog programa ERDF-a za "Europsku</w:t>
      </w:r>
      <w:r>
        <w:rPr>
          <w:rFonts w:ascii="Arial" w:eastAsia="Arial" w:hAnsi="Arial"/>
          <w:sz w:val="24"/>
        </w:rPr>
        <w:t xml:space="preserve"> inicijativu</w:t>
      </w:r>
      <w:r w:rsidR="00264629">
        <w:rPr>
          <w:rFonts w:ascii="Arial" w:eastAsia="Arial" w:hAnsi="Arial"/>
          <w:sz w:val="24"/>
        </w:rPr>
        <w:t xml:space="preserve"> za gradove</w:t>
      </w:r>
      <w:r>
        <w:rPr>
          <w:rFonts w:ascii="Arial" w:eastAsia="Arial" w:hAnsi="Arial"/>
          <w:sz w:val="24"/>
        </w:rPr>
        <w:t xml:space="preserve">", koji bi trebao biti važan korak za jačanje potpore i </w:t>
      </w:r>
      <w:r>
        <w:rPr>
          <w:rFonts w:ascii="Arial" w:eastAsia="Arial" w:hAnsi="Arial"/>
          <w:sz w:val="24"/>
        </w:rPr>
        <w:t xml:space="preserve">koordinacije </w:t>
      </w:r>
      <w:r w:rsidR="00264629">
        <w:rPr>
          <w:rFonts w:ascii="Arial" w:eastAsia="Arial" w:hAnsi="Arial"/>
          <w:sz w:val="24"/>
        </w:rPr>
        <w:t>P</w:t>
      </w:r>
      <w:r>
        <w:rPr>
          <w:rFonts w:ascii="Arial" w:eastAsia="Arial" w:hAnsi="Arial"/>
          <w:sz w:val="24"/>
        </w:rPr>
        <w:t>rograma</w:t>
      </w:r>
      <w:r w:rsidR="00264629">
        <w:rPr>
          <w:rFonts w:ascii="Arial" w:eastAsia="Arial" w:hAnsi="Arial"/>
          <w:sz w:val="24"/>
        </w:rPr>
        <w:t xml:space="preserve"> za gradove</w:t>
      </w:r>
      <w:r>
        <w:rPr>
          <w:rFonts w:ascii="Arial" w:eastAsia="Arial" w:hAnsi="Arial"/>
          <w:sz w:val="24"/>
        </w:rPr>
        <w:t xml:space="preserve"> i koji također ima za cilj podržati održivi urbani razvoj;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98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3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Glavni gradovi država EU-a zajedno s ostalim jedinicama lokalne vlasti predano ulažu napore kako bi pridonijeli uspjehu </w:t>
      </w:r>
      <w:r w:rsidR="00264629">
        <w:rPr>
          <w:rFonts w:ascii="Arial" w:eastAsia="Arial" w:hAnsi="Arial"/>
          <w:sz w:val="24"/>
        </w:rPr>
        <w:t>P</w:t>
      </w:r>
      <w:r>
        <w:rPr>
          <w:rFonts w:ascii="Arial" w:eastAsia="Arial" w:hAnsi="Arial"/>
          <w:sz w:val="24"/>
        </w:rPr>
        <w:t>rograma</w:t>
      </w:r>
      <w:r w:rsidR="00264629">
        <w:rPr>
          <w:rFonts w:ascii="Arial" w:eastAsia="Arial" w:hAnsi="Arial"/>
          <w:sz w:val="24"/>
        </w:rPr>
        <w:t xml:space="preserve"> za gradove</w:t>
      </w:r>
      <w:r>
        <w:rPr>
          <w:rFonts w:ascii="Arial" w:eastAsia="Arial" w:hAnsi="Arial"/>
          <w:sz w:val="24"/>
        </w:rPr>
        <w:t xml:space="preserve"> stavljanjem na raspolaganje </w:t>
      </w:r>
      <w:r>
        <w:rPr>
          <w:rFonts w:ascii="Arial" w:eastAsia="Arial" w:hAnsi="Arial"/>
          <w:sz w:val="24"/>
        </w:rPr>
        <w:t>svih relevantnih kapaciteta i stručnosti potrebnih za tematska partnerstva za poticanje relevantnih, konkretnih i uvjerljivih aktivnosti i preporuka za bolju Europsku uniju, zakonodavstvo, instrumente financiranja i razmjenu znanja; Također bismo pozdravil</w:t>
      </w:r>
      <w:r>
        <w:rPr>
          <w:rFonts w:ascii="Arial" w:eastAsia="Arial" w:hAnsi="Arial"/>
          <w:sz w:val="24"/>
        </w:rPr>
        <w:t xml:space="preserve">i povećanu potporu Komisije u obliku doprinosa i provedbe rezultata </w:t>
      </w:r>
      <w:r w:rsidR="00264629">
        <w:rPr>
          <w:rFonts w:ascii="Arial" w:eastAsia="Arial" w:hAnsi="Arial"/>
          <w:sz w:val="24"/>
        </w:rPr>
        <w:t>P</w:t>
      </w:r>
      <w:r>
        <w:rPr>
          <w:rFonts w:ascii="Arial" w:eastAsia="Arial" w:hAnsi="Arial"/>
          <w:sz w:val="24"/>
        </w:rPr>
        <w:t xml:space="preserve">rograma </w:t>
      </w:r>
      <w:r>
        <w:rPr>
          <w:rFonts w:ascii="Arial" w:eastAsia="Arial" w:hAnsi="Arial"/>
          <w:sz w:val="24"/>
        </w:rPr>
        <w:t>EU</w:t>
      </w:r>
      <w:r w:rsidR="00264629">
        <w:rPr>
          <w:rFonts w:ascii="Arial" w:eastAsia="Arial" w:hAnsi="Arial"/>
          <w:sz w:val="24"/>
        </w:rPr>
        <w:t>-a za gradove</w:t>
      </w:r>
      <w:r>
        <w:rPr>
          <w:rFonts w:ascii="Arial" w:eastAsia="Arial" w:hAnsi="Arial"/>
          <w:sz w:val="24"/>
        </w:rPr>
        <w:t>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84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8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</w:p>
    <w:p w:rsidR="00661B82" w:rsidRDefault="00661B82">
      <w:pPr>
        <w:spacing w:line="0" w:lineRule="atLeast"/>
        <w:ind w:left="8900"/>
        <w:rPr>
          <w:rFonts w:ascii="Times New Roman" w:eastAsia="Times New Roman" w:hAnsi="Times New Roman"/>
          <w:sz w:val="24"/>
        </w:rPr>
        <w:sectPr w:rsidR="00661B82">
          <w:pgSz w:w="11900" w:h="16840"/>
          <w:pgMar w:top="1440" w:right="1440" w:bottom="435" w:left="1440" w:header="0" w:footer="0" w:gutter="0"/>
          <w:cols w:space="0" w:equalWidth="0">
            <w:col w:w="9020"/>
          </w:cols>
          <w:docGrid w:linePitch="360"/>
        </w:sect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  <w:bookmarkStart w:id="8" w:name="page8"/>
      <w:bookmarkEnd w:id="8"/>
    </w:p>
    <w:p w:rsidR="00661B82" w:rsidRDefault="00661B82">
      <w:pPr>
        <w:spacing w:line="302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4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Ipak pozivamo Europsku komisiju da pokaže veću razinu predanosti </w:t>
      </w:r>
      <w:r w:rsidR="00264629">
        <w:rPr>
          <w:rFonts w:ascii="Arial" w:eastAsia="Arial" w:hAnsi="Arial"/>
          <w:sz w:val="24"/>
        </w:rPr>
        <w:t>P</w:t>
      </w:r>
      <w:r>
        <w:rPr>
          <w:rFonts w:ascii="Arial" w:eastAsia="Arial" w:hAnsi="Arial"/>
          <w:sz w:val="24"/>
        </w:rPr>
        <w:t xml:space="preserve">rogramu </w:t>
      </w:r>
      <w:r>
        <w:rPr>
          <w:rFonts w:ascii="Arial" w:eastAsia="Arial" w:hAnsi="Arial"/>
          <w:sz w:val="24"/>
        </w:rPr>
        <w:t>EU</w:t>
      </w:r>
      <w:r w:rsidR="00264629">
        <w:rPr>
          <w:rFonts w:ascii="Arial" w:eastAsia="Arial" w:hAnsi="Arial"/>
          <w:sz w:val="24"/>
        </w:rPr>
        <w:t>-a za gradove</w:t>
      </w:r>
      <w:r>
        <w:rPr>
          <w:rFonts w:ascii="Arial" w:eastAsia="Arial" w:hAnsi="Arial"/>
          <w:sz w:val="24"/>
        </w:rPr>
        <w:t>, osiguravajući da sve relevantne Glavne uprave Europske komisije uistinu posvete kapacitete i vrijeme suradnji u različitim uspostavljenim tematskim partnerstvima</w:t>
      </w:r>
      <w:r>
        <w:rPr>
          <w:rFonts w:ascii="Arial" w:eastAsia="Arial" w:hAnsi="Arial"/>
          <w:sz w:val="24"/>
        </w:rPr>
        <w:t>; U tom smislu podsjećamo i na obveze koje je EU preuzela kroz druge postojeće multilateralne inicijative za urbana pitanja kao što je UN-ov Novi program za gradove usvojen u Quitu 2016. godine.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88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381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U tom smislu, radujemo se prepoznavanju Programa </w:t>
      </w:r>
      <w:r w:rsidR="00264629">
        <w:rPr>
          <w:rFonts w:ascii="Arial" w:eastAsia="Arial" w:hAnsi="Arial"/>
          <w:sz w:val="24"/>
        </w:rPr>
        <w:t xml:space="preserve">EU-a </w:t>
      </w:r>
      <w:r>
        <w:rPr>
          <w:rFonts w:ascii="Arial" w:eastAsia="Arial" w:hAnsi="Arial"/>
          <w:sz w:val="24"/>
        </w:rPr>
        <w:t>za gradove</w:t>
      </w:r>
      <w:r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od strane Europske komisije kao ključnog okvira za upravljanje i suradnju na različitim razinama vezano za glavne prioritete politike EU-a, a posebice pozivamo Europsku komisiju da uključi Program </w:t>
      </w:r>
      <w:r w:rsidR="00264629">
        <w:rPr>
          <w:rFonts w:ascii="Arial" w:eastAsia="Arial" w:hAnsi="Arial"/>
          <w:sz w:val="24"/>
        </w:rPr>
        <w:t xml:space="preserve">EU-a </w:t>
      </w:r>
      <w:r>
        <w:rPr>
          <w:rFonts w:ascii="Arial" w:eastAsia="Arial" w:hAnsi="Arial"/>
          <w:sz w:val="24"/>
        </w:rPr>
        <w:t xml:space="preserve">za gradove </w:t>
      </w:r>
      <w:r>
        <w:rPr>
          <w:rFonts w:ascii="Arial" w:eastAsia="Arial" w:hAnsi="Arial"/>
          <w:sz w:val="24"/>
        </w:rPr>
        <w:t>u godišnje programe rada različitih t</w:t>
      </w:r>
      <w:r>
        <w:rPr>
          <w:rFonts w:ascii="Arial" w:eastAsia="Arial" w:hAnsi="Arial"/>
          <w:sz w:val="24"/>
        </w:rPr>
        <w:t>ematskih Glavnih uprava.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99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Gradonačelnici glavnih gradova Europske unije</w:t>
      </w:r>
    </w:p>
    <w:p w:rsidR="00661B82" w:rsidRDefault="00661B82">
      <w:pPr>
        <w:spacing w:line="302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Bruxelles, 25. rujna 2018.</w:t>
      </w: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200" w:lineRule="exact"/>
        <w:rPr>
          <w:rFonts w:ascii="Times New Roman" w:eastAsia="Times New Roman" w:hAnsi="Times New Roman"/>
        </w:rPr>
      </w:pPr>
    </w:p>
    <w:p w:rsidR="00661B82" w:rsidRDefault="00661B82">
      <w:pPr>
        <w:spacing w:line="386" w:lineRule="exact"/>
        <w:rPr>
          <w:rFonts w:ascii="Times New Roman" w:eastAsia="Times New Roman" w:hAnsi="Times New Roman"/>
        </w:rPr>
      </w:pPr>
    </w:p>
    <w:p w:rsidR="00661B82" w:rsidRDefault="000004CB">
      <w:pPr>
        <w:spacing w:line="0" w:lineRule="atLeast"/>
        <w:ind w:left="8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</w:p>
    <w:sectPr w:rsidR="00661B82">
      <w:pgSz w:w="11900" w:h="16840"/>
      <w:pgMar w:top="1440" w:right="1440" w:bottom="435" w:left="1440" w:header="0" w:footer="0" w:gutter="0"/>
      <w:cols w:space="0" w:equalWidth="0">
        <w:col w:w="9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E88870BC">
      <w:start w:val="2"/>
      <w:numFmt w:val="decimal"/>
      <w:lvlText w:val="%1"/>
      <w:lvlJc w:val="left"/>
    </w:lvl>
    <w:lvl w:ilvl="1" w:tplc="3C227278">
      <w:start w:val="1"/>
      <w:numFmt w:val="bullet"/>
      <w:lvlText w:val=""/>
      <w:lvlJc w:val="left"/>
    </w:lvl>
    <w:lvl w:ilvl="2" w:tplc="DE1EB58C">
      <w:start w:val="1"/>
      <w:numFmt w:val="bullet"/>
      <w:lvlText w:val=""/>
      <w:lvlJc w:val="left"/>
    </w:lvl>
    <w:lvl w:ilvl="3" w:tplc="5E6A7918">
      <w:start w:val="1"/>
      <w:numFmt w:val="bullet"/>
      <w:lvlText w:val=""/>
      <w:lvlJc w:val="left"/>
    </w:lvl>
    <w:lvl w:ilvl="4" w:tplc="12DA9DDA">
      <w:start w:val="1"/>
      <w:numFmt w:val="bullet"/>
      <w:lvlText w:val=""/>
      <w:lvlJc w:val="left"/>
    </w:lvl>
    <w:lvl w:ilvl="5" w:tplc="3B6267BC">
      <w:start w:val="1"/>
      <w:numFmt w:val="bullet"/>
      <w:lvlText w:val=""/>
      <w:lvlJc w:val="left"/>
    </w:lvl>
    <w:lvl w:ilvl="6" w:tplc="F9D619F2">
      <w:start w:val="1"/>
      <w:numFmt w:val="bullet"/>
      <w:lvlText w:val=""/>
      <w:lvlJc w:val="left"/>
    </w:lvl>
    <w:lvl w:ilvl="7" w:tplc="A692C6B2">
      <w:start w:val="1"/>
      <w:numFmt w:val="bullet"/>
      <w:lvlText w:val=""/>
      <w:lvlJc w:val="left"/>
    </w:lvl>
    <w:lvl w:ilvl="8" w:tplc="47169F6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3EA00602">
      <w:start w:val="4"/>
      <w:numFmt w:val="decimal"/>
      <w:lvlText w:val="%1"/>
      <w:lvlJc w:val="left"/>
    </w:lvl>
    <w:lvl w:ilvl="1" w:tplc="D1006824">
      <w:start w:val="1"/>
      <w:numFmt w:val="bullet"/>
      <w:lvlText w:val=""/>
      <w:lvlJc w:val="left"/>
    </w:lvl>
    <w:lvl w:ilvl="2" w:tplc="82B602C4">
      <w:start w:val="1"/>
      <w:numFmt w:val="bullet"/>
      <w:lvlText w:val=""/>
      <w:lvlJc w:val="left"/>
    </w:lvl>
    <w:lvl w:ilvl="3" w:tplc="5AB8A570">
      <w:start w:val="1"/>
      <w:numFmt w:val="bullet"/>
      <w:lvlText w:val=""/>
      <w:lvlJc w:val="left"/>
    </w:lvl>
    <w:lvl w:ilvl="4" w:tplc="4464FEAC">
      <w:start w:val="1"/>
      <w:numFmt w:val="bullet"/>
      <w:lvlText w:val=""/>
      <w:lvlJc w:val="left"/>
    </w:lvl>
    <w:lvl w:ilvl="5" w:tplc="B1F0C4A8">
      <w:start w:val="1"/>
      <w:numFmt w:val="bullet"/>
      <w:lvlText w:val=""/>
      <w:lvlJc w:val="left"/>
    </w:lvl>
    <w:lvl w:ilvl="6" w:tplc="E9E6B2AA">
      <w:start w:val="1"/>
      <w:numFmt w:val="bullet"/>
      <w:lvlText w:val=""/>
      <w:lvlJc w:val="left"/>
    </w:lvl>
    <w:lvl w:ilvl="7" w:tplc="B0D4302E">
      <w:start w:val="1"/>
      <w:numFmt w:val="bullet"/>
      <w:lvlText w:val=""/>
      <w:lvlJc w:val="left"/>
    </w:lvl>
    <w:lvl w:ilvl="8" w:tplc="C69865A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A442DFF6">
      <w:start w:val="8"/>
      <w:numFmt w:val="decimal"/>
      <w:lvlText w:val="%1"/>
      <w:lvlJc w:val="left"/>
    </w:lvl>
    <w:lvl w:ilvl="1" w:tplc="5D64416A">
      <w:start w:val="1"/>
      <w:numFmt w:val="bullet"/>
      <w:lvlText w:val=""/>
      <w:lvlJc w:val="left"/>
    </w:lvl>
    <w:lvl w:ilvl="2" w:tplc="FEBC1B9C">
      <w:start w:val="1"/>
      <w:numFmt w:val="bullet"/>
      <w:lvlText w:val=""/>
      <w:lvlJc w:val="left"/>
    </w:lvl>
    <w:lvl w:ilvl="3" w:tplc="7F16CE92">
      <w:start w:val="1"/>
      <w:numFmt w:val="bullet"/>
      <w:lvlText w:val=""/>
      <w:lvlJc w:val="left"/>
    </w:lvl>
    <w:lvl w:ilvl="4" w:tplc="6FEE926C">
      <w:start w:val="1"/>
      <w:numFmt w:val="bullet"/>
      <w:lvlText w:val=""/>
      <w:lvlJc w:val="left"/>
    </w:lvl>
    <w:lvl w:ilvl="5" w:tplc="9CB2E976">
      <w:start w:val="1"/>
      <w:numFmt w:val="bullet"/>
      <w:lvlText w:val=""/>
      <w:lvlJc w:val="left"/>
    </w:lvl>
    <w:lvl w:ilvl="6" w:tplc="E58AA304">
      <w:start w:val="1"/>
      <w:numFmt w:val="bullet"/>
      <w:lvlText w:val=""/>
      <w:lvlJc w:val="left"/>
    </w:lvl>
    <w:lvl w:ilvl="7" w:tplc="7C203C2A">
      <w:start w:val="1"/>
      <w:numFmt w:val="bullet"/>
      <w:lvlText w:val=""/>
      <w:lvlJc w:val="left"/>
    </w:lvl>
    <w:lvl w:ilvl="8" w:tplc="78AC039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F9D"/>
    <w:rsid w:val="000004CB"/>
    <w:rsid w:val="00135F9D"/>
    <w:rsid w:val="00264629"/>
    <w:rsid w:val="00661B82"/>
    <w:rsid w:val="00D424F8"/>
    <w:rsid w:val="00F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866C261"/>
  <w15:chartTrackingRefBased/>
  <w15:docId w15:val="{D38780B0-FAD3-46F5-B1BD-23DE8DA1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gional_policy/en/policy/how/prior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regional_policy/de/policy/how/prior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ublications/economy-finance/boosting-investment-social-infrastructure-europe_e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cloudconvert_6</dc:creator>
  <cp:keywords/>
  <cp:lastModifiedBy>GLOBAL LINK d.o.o.</cp:lastModifiedBy>
  <cp:revision>7</cp:revision>
  <dcterms:created xsi:type="dcterms:W3CDTF">2018-09-24T09:33:00Z</dcterms:created>
  <dcterms:modified xsi:type="dcterms:W3CDTF">2018-09-24T13:07:00Z</dcterms:modified>
</cp:coreProperties>
</file>